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My Cell is 322-0440.</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BOB HENSZEY</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Personal Biography</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8">
      <w:pPr>
        <w:rPr>
          <w:sz w:val="40"/>
          <w:szCs w:val="40"/>
        </w:rPr>
      </w:pPr>
      <w:r w:rsidDel="00000000" w:rsidR="00000000" w:rsidRPr="00000000">
        <w:rPr>
          <w:sz w:val="40"/>
          <w:szCs w:val="40"/>
          <w:rtl w:val="0"/>
        </w:rPr>
        <w:t xml:space="preserve">Bob has studied and managed riparian-wetlands for more than 40 years. His work includes riparian areas of the Great Basin in northeastern California, subalpine meadows in Wyoming, wet meadows of the Great Plains in Nebraska, and subarctic wetlands in Interior Alaska. He has a Ph.D. in Rangeland Ecology and Watershed Management from the University of Wyoming, and has been a Fish and Wildlife Biologist for the U.S. Fish and Wildlife Service in Fairbanks for the past 15 years. Bob is the Branch Chief for Conservation Planning Assistance in Fairbanks, and is responsible for proactively fostering partnerships with state, federal, and other stakeholders to achieve their development goals while conserving fish, wildlife, and their habitats. His presentation this evening will focus on the authorities used most often for environmental reviews by the U.S. Fish and Wildlife Service in Alaska.</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2020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